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color w:val="466EA5"/>
          <w:sz w:val="40"/>
          <w:szCs w:val="40"/>
        </w:rPr>
        <w:t>Slovenskí zamestnávatelia hlásia na 2Q 2020 povzbudzujúce náborové plány</w:t>
      </w:r>
      <w:r w:rsidRPr="00AE0F99">
        <w:rPr>
          <w:rStyle w:val="eop"/>
          <w:rFonts w:ascii="Arial" w:hAnsi="Arial" w:cs="Arial"/>
          <w:sz w:val="40"/>
          <w:szCs w:val="40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 xml:space="preserve">Príležitosti pre uchádzačov </w:t>
      </w:r>
      <w:proofErr w:type="spellStart"/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>o zamestnanie</w:t>
      </w:r>
      <w:proofErr w:type="spellEnd"/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 xml:space="preserve"> sa nájdu najmä </w:t>
      </w:r>
      <w:proofErr w:type="spellStart"/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>v odvetviach</w:t>
      </w:r>
      <w:proofErr w:type="spellEnd"/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 xml:space="preserve"> Stavebníctvo </w:t>
      </w:r>
      <w:proofErr w:type="spellStart"/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>a Veľkoobchod</w:t>
      </w:r>
      <w:proofErr w:type="spellEnd"/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>a maloobchod</w:t>
      </w:r>
      <w:proofErr w:type="spellEnd"/>
      <w:r w:rsidRPr="00AE0F99">
        <w:rPr>
          <w:rStyle w:val="normaltextrun"/>
          <w:rFonts w:ascii="Arial" w:hAnsi="Arial" w:cs="Arial"/>
          <w:i/>
          <w:iCs/>
          <w:color w:val="767171"/>
          <w:sz w:val="22"/>
          <w:szCs w:val="22"/>
        </w:rPr>
        <w:t>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Bratislava, 11. marca</w:t>
      </w: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AE0F99">
        <w:rPr>
          <w:rStyle w:val="normaltextrun"/>
          <w:rFonts w:ascii="Arial" w:hAnsi="Arial" w:cs="Arial"/>
          <w:sz w:val="22"/>
          <w:szCs w:val="22"/>
        </w:rPr>
        <w:t>– Z prieskumu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 </w:t>
      </w:r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Index trhu práce</w:t>
      </w:r>
      <w:r w:rsidRPr="00AE0F99">
        <w:rPr>
          <w:rStyle w:val="normaltextrun"/>
          <w:rFonts w:ascii="Arial" w:hAnsi="Arial" w:cs="Arial"/>
          <w:sz w:val="22"/>
          <w:szCs w:val="22"/>
        </w:rPr>
        <w:t> vyplýva, že slovenskí zamestnávatelia majú na nasledujúci štvrťrok povzbudzujúce náborové plány. Čistý index trhu práce</w:t>
      </w:r>
      <w:r w:rsidRPr="00AE0F99">
        <w:rPr>
          <w:rStyle w:val="textrun"/>
          <w:rFonts w:ascii="Arial" w:hAnsi="Arial" w:cs="Arial"/>
          <w:sz w:val="17"/>
          <w:szCs w:val="17"/>
          <w:vertAlign w:val="superscript"/>
        </w:rPr>
        <w:t>1</w:t>
      </w:r>
      <w:r w:rsidRPr="00AE0F99">
        <w:rPr>
          <w:rStyle w:val="normaltextrun"/>
          <w:rFonts w:ascii="Arial" w:hAnsi="Arial" w:cs="Arial"/>
          <w:sz w:val="22"/>
          <w:szCs w:val="22"/>
        </w:rPr>
        <w:t xml:space="preserve"> má hodnotu 7 %.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porovnaní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s predchádzajúcim štvrťrokom Index narástol o 7 percentných bodov,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</w:t>
      </w:r>
      <w:r w:rsidRPr="00AE0F99">
        <w:rPr>
          <w:rStyle w:val="normaltextrun"/>
          <w:rFonts w:ascii="Arial" w:hAnsi="Arial" w:cs="Arial"/>
          <w:sz w:val="22"/>
          <w:szCs w:val="22"/>
        </w:rPr>
        <w:t>medziročnom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E0F99">
        <w:rPr>
          <w:rStyle w:val="normaltextrun"/>
          <w:rFonts w:ascii="Arial" w:hAnsi="Arial" w:cs="Arial"/>
          <w:sz w:val="22"/>
          <w:szCs w:val="22"/>
        </w:rPr>
        <w:t xml:space="preserve">porovnaní však poklesol o 4 percentné body. Po vykonaní sezónneho očistenia dát s cieľom odstránenia vplyvu sezónnych výkyvov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náborových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aktivitách je hodnota Indexu +5 %.*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„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Nezamestnanosť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 v 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medziročnom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porovnaní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naďalej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 klesá a vývoj trhu práce by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mal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byť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pozitívny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vo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všetkých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hlavných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zamestnávateľských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sektoroch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i v 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druhom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kvartáli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roka. V </w:t>
      </w:r>
      <w:proofErr w:type="gram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porovnaní</w:t>
      </w:r>
      <w:proofErr w:type="gram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 s nevídanou náborovou aktivitou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firiem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ktorá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sa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naplno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prejavila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v polovici roka 2015 a trvala 4 roky, sú naše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posledné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 3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kvartálne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 výsledky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merania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nálad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zamestnávateľov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výrazne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nižšie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, avšak stále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pozitívne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.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Najoptimistickejšími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sektormi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 sú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stavebníctvo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a obchod,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najviac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naberajú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zamestnávatelia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na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východnom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Slovensku, a to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predovšetkým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tí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veľkí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: 19 % z nich bude ve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druhom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štvrťroku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naberať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 nových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zamestnancov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,“</w:t>
      </w:r>
      <w:r w:rsidRPr="00AE0F99">
        <w:rPr>
          <w:rStyle w:val="normaltextrun"/>
          <w:rFonts w:ascii="Arial" w:hAnsi="Arial" w:cs="Arial"/>
          <w:sz w:val="16"/>
          <w:szCs w:val="16"/>
          <w:shd w:val="clear" w:color="auto" w:fill="FFFFFF"/>
          <w:lang w:val="cs-CZ"/>
        </w:rPr>
        <w:t>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uviedla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 </w:t>
      </w:r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 xml:space="preserve">Zuzana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Rumiz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 xml:space="preserve">,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generálna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manažérka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 </w:t>
      </w:r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Slovenská</w:t>
      </w:r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  <w:lang w:val="cs-CZ"/>
        </w:rPr>
        <w:t> republika.</w:t>
      </w:r>
      <w:r w:rsidRPr="00AE0F99">
        <w:rPr>
          <w:rStyle w:val="normaltextrun"/>
          <w:rFonts w:ascii="Arial" w:hAnsi="Arial" w:cs="Arial"/>
          <w:sz w:val="22"/>
          <w:szCs w:val="22"/>
          <w:lang w:val="cs-CZ"/>
        </w:rPr>
        <w:t> </w:t>
      </w:r>
      <w:r w:rsidRPr="00AE0F99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Porovnanie podľa odvetví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 xml:space="preserve">Najviac zamestnancov plánujú naberať zamestnávatelia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odvetviach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 Stavebníctvo (+13 %) a Veľkoobchod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a maloobchod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 (+10 %). Odvetvie Financie, poistenie, nehnuteľnosti a ďalšie služby podnikom vykazuje Index +9 % a Spracovateľský priemysel +6 %.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odvetviach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 Ostatná výroba a Ostatné služby dosahuje Čistý index trhu práce hodnotu +5 %. Určité pracovné príležitosti plánujú aj zamestnávatelia v odvetví Ubytovanie a stravovanie s Indexom +3 %.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 xml:space="preserve">V porovnaní s predchádzajúcim štvrťrokom zamestnávatelia vo všetkých siedmich odvetviach hlásia silnejšie náborové prostredie. Najväčší nárast o 11 percentných bodov hlási Spracovateľský priemysel, za ktorým nasleduje Stavebníctvo a Ostatná výroba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s nárastom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o 10 percentných bodov. Veľkoobchod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a maloobchod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očakáva zlepšenie náborových aktivít o 6 percentných bodov. V dvoch odvetviach – Financie, poistenie, nehnuteľnosti a ďalšie služby podnikom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a Ubytovanie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a stravovanie – je Index silnejší o 5 percentných bodov. Relatívne stabilný zostáva Index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odvetví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Ostatné služby.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 xml:space="preserve">V medziročnom porovnaní sa náborové prostredie zhoršilo v štyroch odvetviach. Najväčší prepad o 14 percentných bodov hlási Spracovateľský priemysel a o 9 percentných bodov Financie, poistenie, nehnuteľnosti a ďalšie služby podnikom. Náborové plány v odvetví Ubytovanie a stravovanie oslabli o 4 percentné body a v odvetví Ostatné služby o 3 percentné body. V Stavebníctve Index zosilnel o 2 percentné body, v odvetví Veľkoobchod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a maloobchod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o 1 percentný bod a v odvetví Ostatná výroba je nezmenený.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AE0F99" w:rsidRPr="00AE0F99" w:rsidRDefault="00AE0F99" w:rsidP="00AE0F9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*Prieskum sa uskutočnil medzi 6</w:t>
      </w:r>
      <w:r w:rsidRPr="00AE0F9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.</w:t>
      </w:r>
      <w:r w:rsidRPr="00AE0F9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a</w:t>
      </w:r>
      <w:r w:rsidRPr="00AE0F9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 </w:t>
      </w:r>
      <w:r w:rsidRPr="00AE0F9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28</w:t>
      </w:r>
      <w:r w:rsidRPr="00AE0F9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.</w:t>
      </w:r>
      <w:r w:rsidRPr="00AE0F9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januárom 2020, pred globálnou eskaláciou vírusu Covid-19, a teda túto situáciu nezohľadňuje</w:t>
      </w:r>
      <w:r w:rsidRPr="00AE0F99">
        <w:rPr>
          <w:rStyle w:val="eop"/>
          <w:rFonts w:ascii="Arial" w:hAnsi="Arial" w:cs="Arial"/>
          <w:sz w:val="20"/>
          <w:szCs w:val="20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Porovnanie podľa regiónov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 xml:space="preserve">Zamestnávatelia vo všetkých štyroch regiónoch očakávajú na nadchádzajúci štvrťrok nárast počtu pracovných síl. Najviac zamestnancov plánujú naberať zamestnávatelia na Východnom Slovensku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s Indexom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+10 %. Nasleduje Západné Slovensko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s Indexom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+8 % a Bratislava +7 %. Zamestnávatelia na Strednom Slovensku majú opatrnejšie náborové plány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s Indexom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+4 %.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>V porovnaní s predchádzajúcim štvrťrokom zamestnávatelia vo všetkých štyroch regiónoch hlásia zosilnenie náborových plánov. Najväčší nárast o 13 percentných bodov hlásia zamestnávatelia na Západnom Slovensku a o 8 percentných bodov na Východnom Slovensku. Nasleduje Stredné Slovensko so zvýšením o 6 percentných bodov a Index v Bratislave zostáva relatívne stabilný.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>V medziročnom porovnaní sa náborové prostredie výrazne zhoršilo o 8 percentných bodov na Strednom Slovensku a o 7 na Západnom Slovensku. Index v Bratislave oslabol o 2 percentné body a na Východnom Slovensku zostáva relatívne stabilný.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Porovnanie podľa veľkosti podnikov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 xml:space="preserve">Najsilnejšie náborové plány s Čistým indexom trhu práce +11 % hlásia stredné podniky, za ktorými nasledujú veľké podniky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s Indexom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+10 %. Malé podniky vykazujú Index +6 % a </w:t>
      </w:r>
      <w:proofErr w:type="spellStart"/>
      <w:r w:rsidRPr="00AE0F99">
        <w:rPr>
          <w:rStyle w:val="spellingerror"/>
          <w:rFonts w:ascii="Arial" w:hAnsi="Arial" w:cs="Arial"/>
          <w:sz w:val="22"/>
          <w:szCs w:val="22"/>
        </w:rPr>
        <w:t>mikropodniky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 +3 %.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 xml:space="preserve">V porovnaní s predchádzajúcim štvrťrokom zamestnávatelia v malých a stredných podnikoch hlásia nárast náborových aktivít o 12 percentných bodov,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</w:t>
      </w:r>
      <w:r w:rsidRPr="00AE0F99">
        <w:rPr>
          <w:rStyle w:val="spellingerror"/>
          <w:rFonts w:ascii="Arial" w:hAnsi="Arial" w:cs="Arial"/>
          <w:sz w:val="22"/>
          <w:szCs w:val="22"/>
        </w:rPr>
        <w:t>mikropodnikoch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 o 3 percentné body a vo veľkých podnikoch o 2 percentné body.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>V medziročnom porovnaní Index zoslabol vo všetkých štyroch kategóriách. Najväčší pokles o 10 percentných bodov hlásia zamestnávatelia vo veľkých podnikoch. </w:t>
      </w:r>
      <w:proofErr w:type="spellStart"/>
      <w:r w:rsidRPr="00AE0F99">
        <w:rPr>
          <w:rStyle w:val="spellingerror"/>
          <w:rFonts w:ascii="Arial" w:hAnsi="Arial" w:cs="Arial"/>
          <w:sz w:val="22"/>
          <w:szCs w:val="22"/>
        </w:rPr>
        <w:t>Mikropodniky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 vykazujú zníženie o 4 percentné body a malé a stredné podniky o 2 percentné body.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Globálny pohľad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>Najsilnejší trh práce,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s Indexom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+24 %, očakávajú zamestnávatelia v Chorvátsku, Grécku, Japonsku a na Taiwane, zatiaľ čo najslabšie náborové plány hlási Panama (0 %), Hongkong (+1 %), Poľsko  (+2 %)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a Juhoafrická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republika (+2 %).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E0F99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O prieskume „</w:t>
      </w:r>
      <w:proofErr w:type="spellStart"/>
      <w:r w:rsidRPr="00AE0F99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ManpowerGroup</w:t>
      </w:r>
      <w:proofErr w:type="spellEnd"/>
      <w:r w:rsidRPr="00AE0F99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Index trhu práce“</w:t>
      </w:r>
      <w:r w:rsidRPr="00AE0F99">
        <w:rPr>
          <w:rStyle w:val="eop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Prieskum </w:t>
      </w:r>
      <w:proofErr w:type="spellStart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ManpowerGroup</w:t>
      </w:r>
      <w:proofErr w:type="spellEnd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Index trhu práce sa vykonáva každý štvrťrok </w:t>
      </w:r>
      <w:proofErr w:type="spellStart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s cieľom</w:t>
      </w:r>
      <w:proofErr w:type="spellEnd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sledovania zámerov zamestnávateľov znížiť alebo zvýšiť počet zamestnancov počas nasledujúceho štvrťroku. Slovenská republika je jednou zo 43 krajín a oblastí, </w:t>
      </w:r>
      <w:proofErr w:type="spellStart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v ktorých</w:t>
      </w:r>
      <w:proofErr w:type="spellEnd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prieskum prebieha. Na 2. štvrťrok 2020 bola účastníkom vybranej reprezentatívnej vzorky 753 zamestnávateľov na Slovensku položená otázka:</w:t>
      </w:r>
      <w:r w:rsidRPr="00AE0F99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 „</w:t>
      </w: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Ako očakávate, že sa zmení celkový počet zamestnancov vo vašej spoločnosti </w:t>
      </w:r>
      <w:proofErr w:type="spellStart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v nasledujúcom</w:t>
      </w:r>
      <w:proofErr w:type="spellEnd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štvrťroku do konca júna 2020 v porovnaní </w:t>
      </w:r>
      <w:proofErr w:type="spellStart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s aktuálnym</w:t>
      </w:r>
      <w:proofErr w:type="spellEnd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 štvrťrokom?</w:t>
      </w:r>
      <w:r w:rsidRPr="00AE0F99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“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>Prieskum prebieha už viac než 55 rokov a stal sa jedným z najdôveryhodnejších prieskumov náborovej aktivity na svete.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Index trhu práce je založený na kladení rovnakej otázky viac než 58 000 zamestnávateľom z verejného a súkromného sektora naprieč 43 krajinami a je považovaný za vysoko dôveryhodný ekonomický indikátor.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 xml:space="preserve">Projekt sa začal v Spojených štátoch a Kanade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roku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1962. Slovensko sa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k prieskumu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pripojilo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roku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2011. V súčasnosti prebieha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v týchto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 krajinách: Argentína, Austrália, Belgicko, Brazília, Bulharsko, Česká republika, Čína, Fínsko, Francúzsko, Grécko, Guatemala, Holandsko, Hongkong, Chorvátsko, India, Írsko, Izrael, Japonsko, Juhoafrická republika, Kostarika, Kanada, Kolumbia, Maďarsko, Mexiko, Nemecko, Nórsko, Panama, Peru, Poľsko, Portugalsko, Rakúsko,</w:t>
      </w:r>
      <w:r>
        <w:rPr>
          <w:rStyle w:val="normaltextrun"/>
          <w:rFonts w:ascii="Arial" w:hAnsi="Arial" w:cs="Arial"/>
          <w:sz w:val="22"/>
          <w:szCs w:val="22"/>
        </w:rPr>
        <w:t xml:space="preserve"> Rumunsko, Singapur, Slovensko, </w:t>
      </w:r>
      <w:r w:rsidRPr="00AE0F99">
        <w:rPr>
          <w:rStyle w:val="normaltextrun"/>
          <w:rFonts w:ascii="Arial" w:hAnsi="Arial" w:cs="Arial"/>
          <w:sz w:val="22"/>
          <w:szCs w:val="22"/>
        </w:rPr>
        <w:t>Slovinsko, </w:t>
      </w:r>
      <w:r>
        <w:rPr>
          <w:rStyle w:val="normaltextrun"/>
          <w:rFonts w:ascii="Arial" w:hAnsi="Arial" w:cs="Arial"/>
          <w:sz w:val="22"/>
          <w:szCs w:val="22"/>
        </w:rPr>
        <w:t xml:space="preserve">Spojené </w:t>
      </w:r>
      <w:r w:rsidRPr="00AE0F99">
        <w:rPr>
          <w:rStyle w:val="normaltextrun"/>
          <w:rFonts w:ascii="Arial" w:hAnsi="Arial" w:cs="Arial"/>
          <w:sz w:val="22"/>
          <w:szCs w:val="22"/>
        </w:rPr>
        <w:t>kráľovstvo, Španie</w:t>
      </w:r>
      <w:r>
        <w:rPr>
          <w:rStyle w:val="normaltextrun"/>
          <w:rFonts w:ascii="Arial" w:hAnsi="Arial" w:cs="Arial"/>
          <w:sz w:val="22"/>
          <w:szCs w:val="22"/>
        </w:rPr>
        <w:t xml:space="preserve">lsko, </w:t>
      </w:r>
      <w:r w:rsidRPr="00AE0F99">
        <w:rPr>
          <w:rStyle w:val="normaltextrun"/>
          <w:rFonts w:ascii="Arial" w:hAnsi="Arial" w:cs="Arial"/>
          <w:sz w:val="22"/>
          <w:szCs w:val="22"/>
        </w:rPr>
        <w:t>Švédsko, Švajčiarsko, Taliansko, Taiwan, Turecko a USA.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>Kompletné výsledky prieskumu vo všetkých 43 krajinách a oblastiach vrátane aktuálneho prieskumu, regionálnych a globálnych porovnaní sú k 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E0F99">
        <w:rPr>
          <w:rStyle w:val="normaltextrun"/>
          <w:rFonts w:ascii="Arial" w:hAnsi="Arial" w:cs="Arial"/>
          <w:sz w:val="22"/>
          <w:szCs w:val="22"/>
        </w:rPr>
        <w:t>dispozícii na </w:t>
      </w:r>
      <w:hyperlink r:id="rId6" w:tgtFrame="_blank" w:history="1">
        <w:r w:rsidRPr="00AE0F99">
          <w:rPr>
            <w:rStyle w:val="normaltextrun"/>
            <w:rFonts w:ascii="Arial" w:hAnsi="Arial" w:cs="Arial"/>
            <w:color w:val="0563C1"/>
            <w:sz w:val="22"/>
            <w:szCs w:val="22"/>
          </w:rPr>
          <w:t>www.manpowergroup.com/meos</w:t>
        </w:r>
      </w:hyperlink>
      <w:r w:rsidRPr="00AE0F99">
        <w:rPr>
          <w:rStyle w:val="normaltextrun"/>
          <w:rFonts w:ascii="Arial" w:hAnsi="Arial" w:cs="Arial"/>
          <w:sz w:val="22"/>
          <w:szCs w:val="22"/>
        </w:rPr>
        <w:t>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Ďalšie výsledky prieskumu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Index trhu práce, na 3. štvrťrok 2020, budú zverejnené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v prvej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polovici júna 2020</w:t>
      </w:r>
      <w:r w:rsidRPr="00AE0F99">
        <w:rPr>
          <w:rStyle w:val="normaltextrun"/>
          <w:rFonts w:ascii="Arial" w:hAnsi="Arial" w:cs="Arial"/>
          <w:sz w:val="22"/>
          <w:szCs w:val="22"/>
        </w:rPr>
        <w:t>.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F9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F9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O spoločnosti </w:t>
      </w:r>
      <w:proofErr w:type="spellStart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ManpowerGroup™</w:t>
      </w:r>
      <w:proofErr w:type="spellEnd"/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® (NYSE: MAN), popredná globálna spoločnosť dodávajúca riešenia personálnych otázok, pomáha organizáciám transformovať sa v rýchle sa meniacom svete práce získavaním, vyhodnocovaním, vývojom a riadením talentov, a tým získať konkurenčnú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</w:rPr>
        <w:t>výhodu. Každoročne vyvíjame inovatívne riešenia pre stovky tisíc organizácií, poskytujeme kvalifikované talenty, a zároveň nachádzame zmysluplné, udržateľné zamestnanie pre milióny ľudí v širokom spektre priemyslových </w:t>
      </w:r>
      <w:r>
        <w:rPr>
          <w:rStyle w:val="normaltextrun"/>
          <w:rFonts w:ascii="Arial" w:hAnsi="Arial" w:cs="Arial"/>
          <w:sz w:val="22"/>
          <w:szCs w:val="22"/>
        </w:rPr>
        <w:t xml:space="preserve">odvetví a zručností. Skupina </w:t>
      </w:r>
      <w:bookmarkStart w:id="0" w:name="_GoBack"/>
      <w:bookmarkEnd w:id="0"/>
      <w:r w:rsidRPr="00AE0F99">
        <w:rPr>
          <w:rStyle w:val="normaltextrun"/>
          <w:rFonts w:ascii="Arial" w:hAnsi="Arial" w:cs="Arial"/>
          <w:sz w:val="22"/>
          <w:szCs w:val="22"/>
        </w:rPr>
        <w:t>spoločností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, fungujúca pod značkami 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Manpower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®,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Experis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® ,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Right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Management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® a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®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Solutions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, už viac než 70 rokov vytvára podstatne vyššiu hodnotu pre kandidátov a klientov v 80 krajinách a teritóriách. V roku 2020 bola spoločnosť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 xml:space="preserve"> už po jedenásty krát vymenovaná za jednu z najetickejších svetových spoločností a sedemnásty rok je jednou z najobdivovanejších firiem v rebríčku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</w:rPr>
        <w:t>Fortune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</w:rPr>
        <w:t>. 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 xml:space="preserve">O spoločnosti </w:t>
      </w:r>
      <w:proofErr w:type="spellStart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ManpowerGroup</w:t>
      </w:r>
      <w:proofErr w:type="spellEnd"/>
      <w:r w:rsidRPr="00AE0F99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AE0F99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Slovensko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Na Slovensku sa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každý mesiac stará o personálnu a mzdovú agendu pre viac ako 1 700 pridelených zamestnancov, ktorých vyhľadal, a ktorí pracujú u jej klientov. Vďaka svojej sieti 5 pobočiek </w:t>
      </w:r>
      <w:proofErr w:type="spellStart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ManpowerGroup</w:t>
      </w:r>
      <w:proofErr w:type="spellEnd"/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ročne nájde pre 250 klientov 8 000 nových spolupracovníkov</w:t>
      </w:r>
      <w:r w:rsidRPr="00AE0F99">
        <w:rPr>
          <w:rStyle w:val="normaltextrun"/>
          <w:rFonts w:ascii="Arial" w:hAnsi="Arial" w:cs="Arial"/>
          <w:sz w:val="22"/>
          <w:szCs w:val="22"/>
        </w:rPr>
        <w:t>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Viac informácií na </w:t>
      </w:r>
      <w:hyperlink r:id="rId7" w:tgtFrame="_blank" w:history="1">
        <w:r w:rsidRPr="00AE0F99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www.manpower.sk</w:t>
        </w:r>
      </w:hyperlink>
      <w:r w:rsidRPr="00AE0F99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.</w:t>
      </w:r>
      <w:r w:rsidRPr="00AE0F99">
        <w:rPr>
          <w:rStyle w:val="eop"/>
          <w:rFonts w:ascii="Arial" w:hAnsi="Arial" w:cs="Arial"/>
          <w:sz w:val="22"/>
          <w:szCs w:val="22"/>
        </w:rPr>
        <w:t> </w:t>
      </w:r>
    </w:p>
    <w:p w:rsidR="00AE0F99" w:rsidRPr="00AE0F99" w:rsidRDefault="00AE0F99" w:rsidP="00AE0F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F9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F82553" w:rsidRPr="00AE0F99" w:rsidRDefault="00F82553">
      <w:pPr>
        <w:rPr>
          <w:rFonts w:ascii="Arial" w:hAnsi="Arial" w:cs="Arial"/>
        </w:rPr>
      </w:pPr>
    </w:p>
    <w:sectPr w:rsidR="00F82553" w:rsidRPr="00AE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4C8"/>
    <w:multiLevelType w:val="multilevel"/>
    <w:tmpl w:val="C4C6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E6B02"/>
    <w:multiLevelType w:val="multilevel"/>
    <w:tmpl w:val="116CA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9018C"/>
    <w:multiLevelType w:val="multilevel"/>
    <w:tmpl w:val="12B02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9"/>
    <w:rsid w:val="00AE0F99"/>
    <w:rsid w:val="00F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E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run">
    <w:name w:val="textrun"/>
    <w:basedOn w:val="Predvolenpsmoodseku"/>
    <w:rsid w:val="00AE0F99"/>
  </w:style>
  <w:style w:type="character" w:customStyle="1" w:styleId="normaltextrun">
    <w:name w:val="normaltextrun"/>
    <w:basedOn w:val="Predvolenpsmoodseku"/>
    <w:rsid w:val="00AE0F99"/>
  </w:style>
  <w:style w:type="character" w:customStyle="1" w:styleId="eop">
    <w:name w:val="eop"/>
    <w:basedOn w:val="Predvolenpsmoodseku"/>
    <w:rsid w:val="00AE0F99"/>
  </w:style>
  <w:style w:type="character" w:customStyle="1" w:styleId="spellingerror">
    <w:name w:val="spellingerror"/>
    <w:basedOn w:val="Predvolenpsmoodseku"/>
    <w:rsid w:val="00AE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E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run">
    <w:name w:val="textrun"/>
    <w:basedOn w:val="Predvolenpsmoodseku"/>
    <w:rsid w:val="00AE0F99"/>
  </w:style>
  <w:style w:type="character" w:customStyle="1" w:styleId="normaltextrun">
    <w:name w:val="normaltextrun"/>
    <w:basedOn w:val="Predvolenpsmoodseku"/>
    <w:rsid w:val="00AE0F99"/>
  </w:style>
  <w:style w:type="character" w:customStyle="1" w:styleId="eop">
    <w:name w:val="eop"/>
    <w:basedOn w:val="Predvolenpsmoodseku"/>
    <w:rsid w:val="00AE0F99"/>
  </w:style>
  <w:style w:type="character" w:customStyle="1" w:styleId="spellingerror">
    <w:name w:val="spellingerror"/>
    <w:basedOn w:val="Predvolenpsmoodseku"/>
    <w:rsid w:val="00AE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power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powergroup.com/m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Nemeškalová</dc:creator>
  <cp:lastModifiedBy>Lenka Nemeškalová</cp:lastModifiedBy>
  <cp:revision>1</cp:revision>
  <dcterms:created xsi:type="dcterms:W3CDTF">2020-03-11T10:15:00Z</dcterms:created>
  <dcterms:modified xsi:type="dcterms:W3CDTF">2020-03-11T10:19:00Z</dcterms:modified>
</cp:coreProperties>
</file>